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image/svg+xml" Extension="sv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Rule="exact" w:after="0" w:before="0" w:line="464"/>
      </w:pPr>
      <w:bookmarkStart w:id="0" w:name="_GoBack"/>
      <w:bookmarkEnd w:id="0"/>
    </w:p>
    <w:p>
      <w:pPr>
        <w:spacing w:lineRule="exact" w:after="0" w:before="0" w:line="595"/>
        <w:ind w:left="1596"/>
      </w:pPr>
      <w:r>
        <w:rPr>
          <w:rFonts w:ascii="微软雅黑" w:hAnsi="微软雅黑" w:cs="微软雅黑" w:eastAsia="微软雅黑"/>
          <w:sz w:val="50"/>
          <w:color w:val="545454"/>
          <w:b w:val="on"/>
        </w:rPr>
        <w:t>傅益菁</w:t>
      </w:r>
    </w:p>
    <w:p>
      <w:pPr>
        <w:spacing w:lineRule="exact" w:after="0" w:before="0" w:line="232"/>
      </w:pPr>
    </w:p>
    <w:p>
      <w:pPr>
        <w:tabs>
          <w:tab w:val="left" w:pos="4340"/>
        </w:tabs>
        <w:wordWrap w:val="false"/>
        <w:spacing w:lineRule="exact" w:after="0" w:before="0" w:line="377"/>
        <w:ind w:left="1580" w:right="620"/>
        <w:jc w:val="left"/>
        <w:textAlignment w:val="center"/>
      </w:pPr>
      <w:r>
        <w:rPr>
          <w:color w:val="555555"/>
          <w:b w:val="off"/>
          <w:rFonts w:ascii="微软雅黑" w:hAnsi="微软雅黑" w:cs="微软雅黑" w:eastAsia="微软雅黑"/>
          <w:sz w:val="20"/>
        </w:rPr>
        <w:drawing>
          <wp:inline distT="0" distR="0" distB="0" distL="0">
            <wp:extent cx="147493" cy="147493"/>
            <wp:docPr id="0" name="Drawing 0" descr="icon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con.png"/>
                    <pic:cNvPicPr>
                      <a:picLocks noChangeAspect="true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93" cy="14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t>电话：</w:t>
      </w:r>
      <w:r>
        <w:rPr>
          <w:color w:val="555555"/>
          <w:rFonts w:ascii="微软雅黑" w:hAnsi="微软雅黑" w:cs="微软雅黑" w:eastAsia="微软雅黑"/>
          <w:sz w:val="20"/>
        </w:rPr>
        <w:t>18968000612</w:t>
        <w:tab/>
      </w:r>
      <w:r>
        <w:rPr>
          <w:color w:val="555555"/>
          <w:b w:val="off"/>
          <w:rFonts w:ascii="微软雅黑" w:hAnsi="微软雅黑" w:cs="微软雅黑" w:eastAsia="微软雅黑"/>
          <w:sz w:val="20"/>
        </w:rPr>
        <w:drawing>
          <wp:inline distT="0" distR="0" distB="0" distL="0">
            <wp:extent cx="147493" cy="147493"/>
            <wp:docPr id="2" name="Drawing 2" descr="icon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on.png"/>
                    <pic:cNvPicPr>
                      <a:picLocks noChangeAspect="true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93" cy="14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t>邮箱：</w:t>
      </w:r>
      <w:r>
        <w:rPr>
          <w:color w:val="555555"/>
          <w:rFonts w:ascii="微软雅黑" w:hAnsi="微软雅黑" w:cs="微软雅黑" w:eastAsia="微软雅黑"/>
          <w:sz w:val="20"/>
        </w:rPr>
        <w:t>bb_748@sina.com</w:t>
      </w:r>
    </w:p>
    <w:p>
      <w:pPr>
        <w:wordWrap w:val="false"/>
        <w:spacing w:lineRule="exact" w:after="0" w:before="0" w:line="377"/>
        <w:ind w:left="1580" w:right="620"/>
        <w:jc w:val="left"/>
        <w:textAlignment w:val="center"/>
      </w:pPr>
      <w:r>
        <w:rPr>
          <w:color w:val="555555"/>
          <w:b w:val="off"/>
          <w:rFonts w:ascii="微软雅黑" w:hAnsi="微软雅黑" w:cs="微软雅黑" w:eastAsia="微软雅黑"/>
          <w:sz w:val="20"/>
        </w:rPr>
        <w:drawing>
          <wp:inline distT="0" distR="0" distB="0" distL="0">
            <wp:extent cx="147493" cy="147493"/>
            <wp:docPr id="3" name="Drawing 3" descr="icon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con.png"/>
                    <pic:cNvPicPr>
                      <a:picLocks noChangeAspect="true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93" cy="14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t>最高学历：</w:t>
      </w:r>
      <w:r>
        <w:rPr>
          <w:color w:val="555555"/>
          <w:rFonts w:ascii="微软雅黑" w:hAnsi="微软雅黑" w:cs="微软雅黑" w:eastAsia="微软雅黑"/>
          <w:sz w:val="20"/>
        </w:rPr>
        <w:t>本科</w:t>
      </w:r>
      <w:r>
        <w:drawing>
          <wp:anchor simplePos="0" relativeHeight="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737468</wp:posOffset>
            </wp:positionV>
            <wp:extent cx="737468" cy="983473"/>
            <wp:effectExtent l="0" t="0" r="0" b="0"/>
            <wp:wrapNone/>
            <wp:docPr id="1" name="Drawing 0" descr="ico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con.jpg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7468" cy="983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Rule="exact" w:after="0" w:before="0" w:line="725"/>
      </w:pPr>
    </w:p>
    <w:p>
      <w:pPr>
        <w:spacing w:lineRule="exact" w:after="0" w:before="0" w:line="464"/>
        <w:ind w:left="566"/>
        <w:textAlignment w:val="center"/>
        <w:rPr>
          <w:sz w:val="21"/>
        </w:rPr>
      </w:pPr>
      <w:bookmarkStart w:id="0" w:name="_GoBack"/>
      <w:r>
        <w:rPr>
          <w:color w:val="2C2C2C"/>
          <w:b w:val="on"/>
          <w:rFonts w:ascii="微软雅黑" w:hAnsi="微软雅黑" w:cs="微软雅黑" w:eastAsia="微软雅黑"/>
          <w:sz w:val="26"/>
        </w:rPr>
        <w:t>求职意向</w:t>
      </w:r>
      <w:r>
        <w:drawing>
          <wp:anchor simplePos="0" relativeHeight="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" name="Drawing 0" descr="求职意向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求职意向.png"/>
                    <pic:cNvPicPr>
                      <a:picLocks noChangeAspect="true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>
      <w:pPr>
        <w:spacing w:lineRule="exact" w:after="0" w:before="0" w:line="14"/>
        <w:rPr>
          <w:sz w:val="21"/>
        </w:rPr>
      </w:pPr>
    </w:p>
    <w:p>
      <w:pPr>
        <w:spacing w:lineRule="exact" w:after="0" w:before="0" w:line="152"/>
        <w:rPr>
          <w:rFonts w:hint="eastAsia" w:eastAsiaTheme="minorEastAsia"/>
          <w:sz w:val="21"/>
          <w:lang w:val="en-US" w:eastAsia="zh-CN"/>
        </w:rPr>
      </w:pPr>
    </w:p>
    <w:p>
      <w:pPr>
        <w:tabs>
          <w:tab w:val="left" w:pos="5960"/>
        </w:tabs>
        <w:spacing w:lineRule="exact" w:after="0" w:before="0" w:line="377"/>
        <w:ind w:left="58" w:right="58"/>
        <w:textAlignment w:val="center"/>
      </w:pPr>
      <w:bookmarkStart w:id="0" w:name="_GoBack"/>
      <w:bookmarkEnd w:id="0"/>
      <w:r>
        <w:rPr>
          <w:color w:val="555555"/>
          <w:b w:val="off"/>
          <w:rFonts w:ascii="微软雅黑" w:hAnsi="微软雅黑" w:cs="微软雅黑" w:eastAsia="微软雅黑"/>
          <w:sz w:val="20"/>
        </w:rPr>
        <w:t>求职类型：</w:t>
      </w:r>
      <w:r>
        <w:rPr>
          <w:color w:val="555555"/>
          <w:rFonts w:ascii="微软雅黑" w:hAnsi="微软雅黑" w:cs="微软雅黑" w:eastAsia="微软雅黑"/>
          <w:sz w:val="20"/>
        </w:rPr>
        <w:t>社招</w:t>
        <w:tab/>
      </w:r>
    </w:p>
    <w:p>
      <w:pPr>
        <w:spacing w:lineRule="exact" w:after="0" w:before="0" w:line="290"/>
      </w:pPr>
    </w:p>
    <w:p>
      <w:pPr>
        <w:spacing w:lineRule="exact" w:after="0" w:before="0" w:line="464"/>
        <w:ind w:left="566"/>
        <w:textAlignment w:val="center"/>
        <w:rPr>
          <w:sz w:val="21"/>
        </w:rPr>
      </w:pPr>
      <w:bookmarkStart w:id="0" w:name="_GoBack"/>
      <w:r>
        <w:rPr>
          <w:color w:val="2C2C2C"/>
          <w:b w:val="on"/>
          <w:rFonts w:ascii="微软雅黑" w:hAnsi="微软雅黑" w:cs="微软雅黑" w:eastAsia="微软雅黑"/>
          <w:sz w:val="26"/>
        </w:rPr>
        <w:t>工作经历</w:t>
      </w:r>
      <w:r>
        <w:drawing>
          <wp:anchor simplePos="0" relativeHeight="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" name="Drawing 0" descr="工作经历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工作经历.png"/>
                    <pic:cNvPicPr>
                      <a:picLocks noChangeAspect="true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>
      <w:pPr>
        <w:spacing w:lineRule="exact" w:after="0" w:before="0" w:line="14"/>
        <w:rPr>
          <w:sz w:val="21"/>
        </w:rPr>
      </w:pPr>
    </w:p>
    <w:p>
      <w:pPr>
        <w:spacing w:lineRule="exact" w:after="0" w:before="0" w:line="152"/>
        <w:rPr>
          <w:rFonts w:hint="eastAsia" w:eastAsiaTheme="minorEastAsia"/>
          <w:sz w:val="21"/>
          <w:lang w:val="en-US" w:eastAsia="zh-CN"/>
        </w:rPr>
      </w:pPr>
    </w:p>
    <w:p>
      <w:pPr>
        <w:tabs>
          <w:tab w:val="right" w:pos="10440"/>
        </w:tabs>
        <w:spacing w:lineRule="exact" w:after="0" w:before="0" w:line="377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b w:val="on"/>
          <w:color w:val="2C2C2C"/>
        </w:rPr>
        <w:t>2026.4</w:t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-2026.8</w:t>
        <w:tab/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杭州微尔科技有限公司</w:t>
      </w:r>
    </w:p>
    <w:p>
      <w:pPr>
        <w:spacing w:lineRule="exact" w:after="0" w:before="0" w:line="348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color w:val="525252"/>
        </w:rPr>
        <w:t>品牌内容负责人</w:t>
      </w:r>
      <w:r>
        <w:rPr>
          <w:sz w:val="22"/>
          <w:rFonts w:ascii="微软雅黑" w:hAnsi="微软雅黑" w:cs="微软雅黑" w:eastAsia="微软雅黑"/>
          <w:color w:val="525252"/>
        </w:rPr>
        <w:t xml:space="preserve"> | 女装</w:t>
      </w:r>
    </w:p>
    <w:p>
      <w:pPr>
        <w:spacing w:lineRule="exact" w:after="0" w:before="0" w:line="71"/>
        <w:ind w:left="60"/>
        <w:jc w:val="left"/>
      </w:pPr>
      <w:r>
        <w:rPr>
          <w:sz w:val="8"/>
        </w:rPr>
        <w:t/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职责与成果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IP 品牌化落地|品牌运营 / AI内容策略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· 品牌IP体系搭建： 围绕品牌定位、核心价值与 奢于质，定于心 品牌主张，参与品牌从0-1内容体系建设，将抽象品牌理念转化为可持续输出的视觉语言、内容主题与传播资产。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· AI品牌视觉资产建设： 搭建品牌AI视觉资产库及标准化生产流程，建立人物、场景、产品、身体数据等核心资产体系，统一人物形象、色彩、材质、镜头语言与品牌视觉调性，提升AI内容的一致性与复用效率。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· 品牌故事AI影像化： 独立策划并推进品牌故事片、概念片及短视频内容，从选题、脚本、分镜、资产设定、AI生成到成片方向把控，实现品牌故事的AI影像化表达;代表内容包括《五十年，一根羊绒的中国答案》等。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· 内容IP与栏目策划： 根据品牌目标人群及羊绒消费场景，规划老钱风穿搭、羊绒护理、成熟女性穿衣哲学、品牌故事等系列化内容，将单次内容生产沉淀为可持续运营的品牌内容IP。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· 全平台内容矩阵落地： 参与抖音、小红书、视频号、微信公众号等品牌内容矩阵规划，根据不同平台用户习惯拆解长短视频、口播、图文及品牌内容，实现核心品牌资产的多平台适配与分发。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· AI内容生产流程提效： 将AI工具引入品牌内容生产链路，形成 策略/选题—脚本—视觉资产—分镜—动态生成—剪辑—多平台适配 工作流，降低高质感品牌视觉内容的制作门槛与迭代成本。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· 品牌资产与营销物料延展： 参与品牌Slogan、品牌谚语、品牌宪法、售后卡、量体体验、包装及线上传播物料等品牌触点建设，推动品牌核心理念从内容端延展至消费者体验端。</w:t>
      </w:r>
    </w:p>
    <w:p>
      <w:pPr>
        <w:spacing w:lineRule="exact" w:after="0" w:before="0" w:line="152"/>
        <w:ind w:left="60"/>
        <w:jc w:val="left"/>
      </w:pPr>
      <w:r>
        <w:rPr>
          <w:sz w:val="16"/>
        </w:rPr>
        <w:t/>
      </w:r>
    </w:p>
    <w:p>
      <w:pPr>
        <w:tabs>
          <w:tab w:val="right" w:pos="10440"/>
        </w:tabs>
        <w:spacing w:lineRule="exact" w:after="0" w:before="0" w:line="377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b w:val="on"/>
          <w:color w:val="2C2C2C"/>
        </w:rPr>
        <w:t>2023.10</w:t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-2025.10</w:t>
        <w:tab/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杭州逆外科技有限公司</w:t>
      </w:r>
    </w:p>
    <w:p>
      <w:pPr>
        <w:spacing w:lineRule="exact" w:after="0" w:before="0" w:line="348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color w:val="525252"/>
        </w:rPr>
        <w:t>品牌经理</w:t>
      </w:r>
      <w:r>
        <w:rPr>
          <w:sz w:val="22"/>
          <w:rFonts w:ascii="微软雅黑" w:hAnsi="微软雅黑" w:cs="微软雅黑" w:eastAsia="微软雅黑"/>
          <w:color w:val="525252"/>
        </w:rPr>
        <w:t xml:space="preserve"> | 童装</w:t>
      </w:r>
    </w:p>
    <w:p>
      <w:pPr>
        <w:spacing w:lineRule="exact" w:after="0" w:before="0" w:line="71"/>
        <w:ind w:left="60"/>
        <w:jc w:val="left"/>
      </w:pPr>
      <w:r>
        <w:rPr>
          <w:sz w:val="8"/>
        </w:rPr>
        <w:t/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职责与成果</w:t>
      </w:r>
    </w:p>
    <w:p>
      <w:pPr>
        <w:numPr>
          <w:ilvl w:val="0"/>
          <w:numId w:val="1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主导童装品牌从0到1战略搭建</w:t>
      </w:r>
      <w:r>
        <w:rPr>
          <w:color w:val="666666"/>
          <w:rFonts w:ascii="微软雅黑" w:hAnsi="微软雅黑" w:cs="微软雅黑" w:eastAsia="微软雅黑"/>
          <w:sz w:val="20"/>
        </w:rPr>
        <w:t>，完成品牌定位、核心价值、视觉体系、内容话语体系及产品线规划，推动品牌从策略定义到市场落地的完整体系建设。</w:t>
      </w:r>
    </w:p>
    <w:p>
      <w:pPr>
        <w:numPr>
          <w:ilvl w:val="0"/>
          <w:numId w:val="1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主导大型品牌事件及体育资源整合</w:t>
      </w:r>
      <w:r>
        <w:rPr>
          <w:color w:val="666666"/>
          <w:rFonts w:ascii="微软雅黑" w:hAnsi="微软雅黑" w:cs="微软雅黑" w:eastAsia="微软雅黑"/>
          <w:sz w:val="20"/>
        </w:rPr>
        <w:t>，推动品牌以特邀身份登陆首届浙江国际时尚体育周，围绕城市运动、专业运动、户外探险三大产品系列策划沉浸式展陈与儿童运动体验，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单场现场销售额近百万元</w:t>
      </w:r>
      <w:r>
        <w:rPr>
          <w:color w:val="666666"/>
          <w:rFonts w:ascii="微软雅黑" w:hAnsi="微软雅黑" w:cs="微软雅黑" w:eastAsia="微软雅黑"/>
          <w:sz w:val="20"/>
        </w:rPr>
        <w:t>。</w:t>
      </w:r>
    </w:p>
    <w:p>
      <w:pPr>
        <w:numPr>
          <w:ilvl w:val="0"/>
          <w:numId w:val="1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统筹品牌全域内容与新媒体矩阵运营</w:t>
      </w:r>
      <w:r>
        <w:rPr>
          <w:color w:val="666666"/>
          <w:rFonts w:ascii="微软雅黑" w:hAnsi="微软雅黑" w:cs="微软雅黑" w:eastAsia="微软雅黑"/>
          <w:sz w:val="20"/>
        </w:rPr>
        <w:t>，围绕品牌定位制定内容策略、传播主题及平台差异化打法，持续沉淀品牌内容资产，推动新品、品牌事件及渠道营销协同传播。</w:t>
      </w:r>
    </w:p>
    <w:p>
      <w:pPr>
        <w:numPr>
          <w:ilvl w:val="0"/>
          <w:numId w:val="1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拓展达人直播及电商转化渠道</w:t>
      </w:r>
      <w:r>
        <w:rPr>
          <w:color w:val="666666"/>
          <w:rFonts w:ascii="微软雅黑" w:hAnsi="微软雅黑" w:cs="微软雅黑" w:eastAsia="微软雅黑"/>
          <w:sz w:val="20"/>
        </w:rPr>
        <w:t>，联动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交个朋友淘宝直播间</w:t>
      </w:r>
      <w:r>
        <w:rPr>
          <w:color w:val="666666"/>
          <w:rFonts w:ascii="微软雅黑" w:hAnsi="微软雅黑" w:cs="微软雅黑" w:eastAsia="微软雅黑"/>
          <w:sz w:val="20"/>
        </w:rPr>
        <w:t>等头部达播资源，打通“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内容种草—达播引流—店铺承接—私域沉淀</w:t>
      </w:r>
      <w:r>
        <w:rPr>
          <w:color w:val="666666"/>
          <w:rFonts w:ascii="微软雅黑" w:hAnsi="微软雅黑" w:cs="微软雅黑" w:eastAsia="微软雅黑"/>
          <w:sz w:val="20"/>
        </w:rPr>
        <w:t>”转化链路，强化品牌传播与销售转化协同。</w:t>
      </w:r>
    </w:p>
    <w:p>
      <w:pPr>
        <w:numPr>
          <w:ilvl w:val="0"/>
          <w:numId w:val="1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整合体育赛事及产业资源</w:t>
      </w:r>
      <w:r>
        <w:rPr>
          <w:color w:val="666666"/>
          <w:rFonts w:ascii="微软雅黑" w:hAnsi="微软雅黑" w:cs="微软雅黑" w:eastAsia="微软雅黑"/>
          <w:sz w:val="20"/>
        </w:rPr>
        <w:t>，推进青少年高尔夫赛事等户外运动场景合作，并对接湖州产业集群资源，拓展品牌在儿童运动及户外赛道的资源网络。</w:t>
      </w:r>
    </w:p>
    <w:p>
      <w:pPr>
        <w:spacing w:lineRule="exact" w:after="0" w:before="0" w:line="152"/>
        <w:ind w:left="60"/>
        <w:jc w:val="left"/>
      </w:pPr>
      <w:r>
        <w:rPr>
          <w:sz w:val="16"/>
        </w:rPr>
        <w:t/>
      </w:r>
    </w:p>
    <w:p>
      <w:pPr>
        <w:tabs>
          <w:tab w:val="right" w:pos="10440"/>
        </w:tabs>
        <w:spacing w:lineRule="exact" w:after="0" w:before="0" w:line="377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b w:val="on"/>
          <w:color w:val="2C2C2C"/>
        </w:rPr>
        <w:t>2021.10</w:t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-2023.9</w:t>
        <w:tab/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杭州雷泰贸易有限公司</w:t>
      </w:r>
    </w:p>
    <w:p>
      <w:pPr>
        <w:spacing w:lineRule="exact" w:after="0" w:before="0" w:line="348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color w:val="525252"/>
        </w:rPr>
        <w:t>品牌经理</w:t>
      </w:r>
      <w:r>
        <w:rPr>
          <w:sz w:val="22"/>
          <w:rFonts w:ascii="微软雅黑" w:hAnsi="微软雅黑" w:cs="微软雅黑" w:eastAsia="微软雅黑"/>
          <w:color w:val="525252"/>
        </w:rPr>
        <w:t xml:space="preserve"> | 宠物</w:t>
      </w:r>
    </w:p>
    <w:p>
      <w:pPr>
        <w:spacing w:lineRule="exact" w:after="0" w:before="0" w:line="71"/>
        <w:ind w:left="60"/>
        <w:jc w:val="left"/>
      </w:pPr>
      <w:r>
        <w:rPr>
          <w:sz w:val="8"/>
        </w:rPr>
        <w:t/>
      </w:r>
    </w:p>
    <w:p>
      <w:pPr>
        <w:spacing w:lineRule="exact" w:after="0" w:before="0" w:line="411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4"/>
          <w:b w:val="on"/>
        </w:rPr>
        <w:t>核心战绩</w:t>
      </w:r>
    </w:p>
    <w:p>
      <w:pPr>
        <w:numPr>
          <w:ilvl w:val="0"/>
          <w:numId w:val="2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天猫宠物服饰品类 Top 3</w:t>
      </w:r>
    </w:p>
    <w:p>
      <w:pPr>
        <w:numPr>
          <w:ilvl w:val="0"/>
          <w:numId w:val="2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5000万+</w:t>
      </w:r>
      <w:r>
        <w:rPr>
          <w:color w:val="666666"/>
          <w:rFonts w:ascii="微软雅黑" w:hAnsi="微软雅黑" w:cs="微软雅黑" w:eastAsia="微软雅黑"/>
          <w:sz w:val="20"/>
        </w:rPr>
        <w:t xml:space="preserve"> 综合话题曝光量</w:t>
      </w:r>
    </w:p>
    <w:p>
      <w:pPr>
        <w:numPr>
          <w:ilvl w:val="0"/>
          <w:numId w:val="2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900+</w:t>
      </w:r>
      <w:r>
        <w:rPr>
          <w:color w:val="666666"/>
          <w:rFonts w:ascii="微软雅黑" w:hAnsi="微软雅黑" w:cs="微软雅黑" w:eastAsia="微软雅黑"/>
          <w:sz w:val="20"/>
        </w:rPr>
        <w:t xml:space="preserve"> UGC 用户自发笔记</w:t>
      </w:r>
    </w:p>
    <w:p>
      <w:pPr>
        <w:numPr>
          <w:ilvl w:val="0"/>
          <w:numId w:val="2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 xml:space="preserve">小红书账号从 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300粉增长至近8000粉</w:t>
      </w:r>
    </w:p>
    <w:p>
      <w:pPr>
        <w:numPr>
          <w:ilvl w:val="0"/>
          <w:numId w:val="2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 xml:space="preserve">首批宠物品牌入驻 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得物</w:t>
      </w:r>
    </w:p>
    <w:p>
      <w:pPr>
        <w:spacing w:lineRule="exact" w:after="0" w:before="0" w:line="411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4"/>
          <w:b w:val="on"/>
        </w:rPr>
        <w:t>主要职责</w:t>
      </w:r>
    </w:p>
    <w:p>
      <w:pPr>
        <w:numPr>
          <w:ilvl w:val="0"/>
          <w:numId w:val="3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品牌战略与0-1体系搭建</w:t>
      </w:r>
    </w:p>
    <w:p>
      <w:pPr>
        <w:numPr>
          <w:ilvl w:val="0"/>
          <w:numId w:val="3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独立主导高端宠物品牌战略定位与品牌体系搭建，完成核心价值主张、目标客群、品牌调性及差异化竞争策略梳理，并推动品牌策略向内容、电商及营销端落地。</w:t>
      </w:r>
    </w:p>
    <w:p>
      <w:pPr>
        <w:numPr>
          <w:ilvl w:val="0"/>
          <w:numId w:val="3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电商渠道0-1搭建与运营</w:t>
      </w:r>
    </w:p>
    <w:p>
      <w:pPr>
        <w:numPr>
          <w:ilvl w:val="0"/>
          <w:numId w:val="3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全程操盘天猫旗舰店从0到1开店及品牌上线，把控视觉调性、商品表达与品牌文案；同步拓展新兴渠道，推动品牌成为首批入驻得物的宠物品牌之一。</w:t>
      </w:r>
    </w:p>
    <w:p>
      <w:pPr>
        <w:numPr>
          <w:ilvl w:val="0"/>
          <w:numId w:val="3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效果广告投放与增长优化</w:t>
      </w:r>
    </w:p>
    <w:p>
      <w:pPr>
        <w:numPr>
          <w:ilvl w:val="0"/>
          <w:numId w:val="3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负责小红书、抖音等平台效果广告投放策略，围绕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人群定向、素材测试、投放节奏及转化链路</w:t>
      </w:r>
      <w:r>
        <w:rPr>
          <w:color w:val="666666"/>
          <w:rFonts w:ascii="微软雅黑" w:hAnsi="微软雅黑" w:cs="微软雅黑" w:eastAsia="微软雅黑"/>
          <w:sz w:val="20"/>
        </w:rPr>
        <w:t>持续优化；结合自然内容数据反哺付费素材，通过“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内容测试—数据筛选—付费放大—持续迭代</w:t>
      </w:r>
      <w:r>
        <w:rPr>
          <w:color w:val="666666"/>
          <w:rFonts w:ascii="微软雅黑" w:hAnsi="微软雅黑" w:cs="微软雅黑" w:eastAsia="微软雅黑"/>
          <w:sz w:val="20"/>
        </w:rPr>
        <w:t>”提升优质内容放大效率，实现品牌曝光与生意转化协同。</w:t>
      </w:r>
    </w:p>
    <w:p>
      <w:pPr>
        <w:numPr>
          <w:ilvl w:val="0"/>
          <w:numId w:val="3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UGC营销事件策划｜「野生代言人」</w:t>
      </w:r>
    </w:p>
    <w:p>
      <w:pPr>
        <w:numPr>
          <w:ilvl w:val="0"/>
          <w:numId w:val="3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 xml:space="preserve">独立策划「野生代言人」UGC共创活动，通过用户参与机制撬动自然传播，一个月内产生 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900+篇用户自发笔记</w:t>
      </w:r>
      <w:r>
        <w:rPr>
          <w:color w:val="666666"/>
          <w:rFonts w:ascii="微软雅黑" w:hAnsi="微软雅黑" w:cs="微软雅黑" w:eastAsia="微软雅黑"/>
          <w:sz w:val="20"/>
        </w:rPr>
        <w:t>，形成品牌UGC内容资产，活动模式被多家同类品牌跟进借鉴。</w:t>
      </w:r>
    </w:p>
    <w:p>
      <w:pPr>
        <w:numPr>
          <w:ilvl w:val="0"/>
          <w:numId w:val="3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热点营销策划｜「宠物世界杯」</w:t>
      </w:r>
    </w:p>
    <w:p>
      <w:pPr>
        <w:numPr>
          <w:ilvl w:val="0"/>
          <w:numId w:val="3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结合世界杯热点策划宠物主题营销事件，引发大规模UGC二创与社交传播，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综合话题曝光量突破5000万</w:t>
      </w:r>
      <w:r>
        <w:rPr>
          <w:color w:val="666666"/>
          <w:rFonts w:ascii="微软雅黑" w:hAnsi="微软雅黑" w:cs="微软雅黑" w:eastAsia="微软雅黑"/>
          <w:sz w:val="20"/>
        </w:rPr>
        <w:t>，并带动竞品跟进相关内容玩法。</w:t>
      </w:r>
    </w:p>
    <w:p>
      <w:pPr>
        <w:numPr>
          <w:ilvl w:val="0"/>
          <w:numId w:val="3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全域内容矩阵与用户增长</w:t>
      </w:r>
    </w:p>
    <w:p>
      <w:pPr>
        <w:numPr>
          <w:ilvl w:val="0"/>
          <w:numId w:val="3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统筹小红书、微博、抖音等平台内容矩阵，负责内容策略、选题机制及爆款方向迭代；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单篇内容最高8万+点赞，小红书账号从300粉增长至近8000粉</w:t>
      </w:r>
      <w:r>
        <w:rPr>
          <w:color w:val="666666"/>
          <w:rFonts w:ascii="微软雅黑" w:hAnsi="微软雅黑" w:cs="微软雅黑" w:eastAsia="微软雅黑"/>
          <w:sz w:val="20"/>
        </w:rPr>
        <w:t>，持续沉淀品牌核心用户资产。</w:t>
      </w:r>
    </w:p>
    <w:p>
      <w:pPr>
        <w:spacing w:lineRule="exact" w:after="0" w:before="0" w:line="152"/>
        <w:ind w:left="60"/>
        <w:jc w:val="left"/>
      </w:pPr>
      <w:r>
        <w:rPr>
          <w:sz w:val="16"/>
        </w:rPr>
        <w:t/>
      </w:r>
    </w:p>
    <w:p>
      <w:pPr>
        <w:tabs>
          <w:tab w:val="right" w:pos="10440"/>
        </w:tabs>
        <w:spacing w:lineRule="exact" w:after="0" w:before="0" w:line="377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b w:val="on"/>
          <w:color w:val="2C2C2C"/>
        </w:rPr>
        <w:t>2021.4</w:t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-2021.10</w:t>
        <w:tab/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杭州载艺科技有限公司</w:t>
      </w:r>
    </w:p>
    <w:p>
      <w:pPr>
        <w:spacing w:lineRule="exact" w:after="0" w:before="0" w:line="348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color w:val="525252"/>
        </w:rPr>
        <w:t>品牌经理</w:t>
      </w:r>
      <w:r>
        <w:rPr>
          <w:sz w:val="22"/>
          <w:rFonts w:ascii="微软雅黑" w:hAnsi="微软雅黑" w:cs="微软雅黑" w:eastAsia="微软雅黑"/>
          <w:color w:val="525252"/>
        </w:rPr>
        <w:t xml:space="preserve"> | 女装</w:t>
      </w:r>
    </w:p>
    <w:p>
      <w:pPr>
        <w:spacing w:lineRule="exact" w:after="0" w:before="0" w:line="71"/>
        <w:ind w:left="60"/>
        <w:jc w:val="left"/>
      </w:pPr>
      <w:r>
        <w:rPr>
          <w:sz w:val="8"/>
        </w:rPr>
        <w:t/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核心战绩</w:t>
      </w:r>
    </w:p>
    <w:p>
      <w:pPr>
        <w:numPr>
          <w:ilvl w:val="0"/>
          <w:numId w:val="4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主导 OPPO × 织羽集「星黛宇宙」跨界联名项目</w:t>
      </w:r>
      <w:r>
        <w:rPr>
          <w:color w:val="666666"/>
          <w:rFonts w:ascii="微软雅黑" w:hAnsi="微软雅黑" w:cs="微软雅黑" w:eastAsia="微软雅黑"/>
          <w:sz w:val="20"/>
        </w:rPr>
        <w:t>，从创意概念、联名策略到全平台传播落地全程操盘，以「星黛紫」为核心创意打通科技品牌与汉服圈层，最终实现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全网阅读量4亿+、系列产品3天售罄、单条微博阅读240万+</w:t>
      </w:r>
      <w:r>
        <w:rPr>
          <w:color w:val="666666"/>
          <w:rFonts w:ascii="微软雅黑" w:hAnsi="微软雅黑" w:cs="微软雅黑" w:eastAsia="微软雅黑"/>
          <w:sz w:val="20"/>
        </w:rPr>
        <w:t>。</w:t>
      </w:r>
    </w:p>
    <w:p>
      <w:pPr>
        <w:numPr>
          <w:ilvl w:val="0"/>
          <w:numId w:val="4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策划人民文学出版社 × 织羽集「金陵旧梦」文化联名</w:t>
      </w:r>
      <w:r>
        <w:rPr>
          <w:color w:val="666666"/>
          <w:rFonts w:ascii="微软雅黑" w:hAnsi="微软雅黑" w:cs="微软雅黑" w:eastAsia="微软雅黑"/>
          <w:sz w:val="20"/>
        </w:rPr>
        <w:t>，围绕文学IP与东方美学进行内容共创，链接文学与汉服消费人群，拓展品牌文化内容及跨圈层传播边界。</w:t>
      </w:r>
    </w:p>
    <w:p>
      <w:pPr>
        <w:numPr>
          <w:ilvl w:val="0"/>
          <w:numId w:val="4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统筹微博、小红书、B站、抖音全域内容矩阵</w:t>
      </w:r>
      <w:r>
        <w:rPr>
          <w:color w:val="666666"/>
          <w:rFonts w:ascii="微软雅黑" w:hAnsi="微软雅黑" w:cs="微软雅黑" w:eastAsia="微软雅黑"/>
          <w:sz w:val="20"/>
        </w:rPr>
        <w:t>，针对不同平台用户特征制定差异化传播策略，形成“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微博话题引爆—小红书美学种草—B站圈层渗透—抖音内容扩散</w:t>
      </w:r>
      <w:r>
        <w:rPr>
          <w:color w:val="666666"/>
          <w:rFonts w:ascii="微软雅黑" w:hAnsi="微软雅黑" w:cs="微软雅黑" w:eastAsia="微软雅黑"/>
          <w:sz w:val="20"/>
        </w:rPr>
        <w:t>”的整合传播路径；小红书</w:t>
      </w:r>
      <w:r>
        <w:rPr>
          <w:color w:val="666666"/>
          <w:rFonts w:ascii="微软雅黑" w:hAnsi="微软雅黑" w:cs="微软雅黑" w:eastAsia="微软雅黑"/>
          <w:sz w:val="20"/>
          <w:b w:val="on"/>
        </w:rPr>
        <w:t>不足1个月新增粉丝2000+</w:t>
      </w:r>
      <w:r>
        <w:rPr>
          <w:color w:val="666666"/>
          <w:rFonts w:ascii="微软雅黑" w:hAnsi="微软雅黑" w:cs="微软雅黑" w:eastAsia="微软雅黑"/>
          <w:sz w:val="20"/>
        </w:rPr>
        <w:t>。其中作品集明确支持微博、小红书、B站的差异化策略。</w:t>
      </w:r>
    </w:p>
    <w:p>
      <w:pPr>
        <w:numPr>
          <w:ilvl w:val="0"/>
          <w:numId w:val="4"/>
        </w:numPr>
        <w:spacing w:lineRule="exact" w:after="0" w:before="0" w:line="377"/>
        <w:ind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  <w:b w:val="on"/>
        </w:rPr>
        <w:t>参与天猫「国风大赏」平台级营销活动</w:t>
      </w:r>
      <w:r>
        <w:rPr>
          <w:color w:val="666666"/>
          <w:rFonts w:ascii="微软雅黑" w:hAnsi="微软雅黑" w:cs="微软雅黑" w:eastAsia="微软雅黑"/>
          <w:sz w:val="20"/>
        </w:rPr>
        <w:t>，负责外部品牌及合作资源对接，通过跨品牌资源置换与多触点内容联动，整合平台、品牌及社交媒体曝光资源，扩大品牌在国风消费人群中的影响力。</w:t>
      </w:r>
    </w:p>
    <w:p>
      <w:pPr>
        <w:spacing w:lineRule="exact" w:after="0" w:before="0" w:line="152"/>
        <w:ind w:left="60"/>
        <w:jc w:val="left"/>
      </w:pPr>
      <w:r>
        <w:rPr>
          <w:sz w:val="16"/>
        </w:rPr>
        <w:t/>
      </w:r>
    </w:p>
    <w:p>
      <w:pPr>
        <w:tabs>
          <w:tab w:val="right" w:pos="10440"/>
        </w:tabs>
        <w:spacing w:lineRule="exact" w:after="0" w:before="0" w:line="377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b w:val="on"/>
          <w:color w:val="2C2C2C"/>
        </w:rPr>
        <w:t>2017.12</w:t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-2021.3</w:t>
        <w:tab/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杭州尚品七厘米服饰有限公司</w:t>
      </w:r>
    </w:p>
    <w:p>
      <w:pPr>
        <w:spacing w:lineRule="exact" w:after="0" w:before="0" w:line="348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color w:val="525252"/>
        </w:rPr>
        <w:t>品宣主管</w:t>
      </w:r>
    </w:p>
    <w:p>
      <w:pPr>
        <w:spacing w:lineRule="exact" w:after="0" w:before="0" w:line="71"/>
        <w:ind w:left="60"/>
        <w:jc w:val="left"/>
      </w:pPr>
      <w:r>
        <w:rPr>
          <w:sz w:val="8"/>
        </w:rPr>
        <w:t/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核心战绩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0→4万+  公众号粉丝(零推广费)  3款  私域小程序上线  3年  品牌营销体系深耕  全案  线上线下整合营销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主要职责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1. 从0到1搭建品牌自媒体矩阵(微信公众号、微博、抖音、小红书)，在零推广预算下实现公众号粉丝从2000裂变至40000+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1. 带领团队独立完成3款私域小程序全流程开发上线，设计拉新裂变机制，构建品牌私域流量闭环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1. 统筹年度品牌营销日历，协调运营、设计、销售多部门，全面梳理门店VI、陈列与线下视觉体系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1. 与仁和慈善基金会联合策划 衣旧暖人心 公益营销活动，整合视频、海报、媒介全案落地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1. 撰写七厘米品牌文化编年史，系统梳理并输出品牌价值体系与企业文化</w:t>
      </w:r>
    </w:p>
    <w:p>
      <w:pPr>
        <w:spacing w:lineRule="exact" w:after="0" w:before="0" w:line="152"/>
        <w:ind w:left="60"/>
        <w:jc w:val="left"/>
      </w:pPr>
      <w:r>
        <w:rPr>
          <w:sz w:val="16"/>
        </w:rPr>
        <w:t/>
      </w:r>
    </w:p>
    <w:p>
      <w:pPr>
        <w:tabs>
          <w:tab w:val="right" w:pos="10440"/>
        </w:tabs>
        <w:spacing w:lineRule="exact" w:after="0" w:before="0" w:line="377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b w:val="on"/>
          <w:color w:val="2C2C2C"/>
        </w:rPr>
        <w:t>2013.04</w:t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-2017.05</w:t>
        <w:tab/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杭州锦江集团</w:t>
      </w:r>
    </w:p>
    <w:p>
      <w:pPr>
        <w:tabs>
          <w:tab w:val="right" w:pos="10440"/>
        </w:tabs>
        <w:spacing w:lineRule="exact" w:after="0" w:before="0" w:line="348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color w:val="525252"/>
        </w:rPr>
        <w:t>行政策划</w:t>
      </w:r>
      <w:r>
        <w:rPr>
          <w:sz w:val="22"/>
          <w:rFonts w:ascii="微软雅黑" w:hAnsi="微软雅黑" w:cs="微软雅黑" w:eastAsia="微软雅黑"/>
          <w:color w:val="525252"/>
        </w:rPr>
        <w:t xml:space="preserve"> | 民营500强</w:t>
        <w:tab/>
      </w:r>
      <w:r>
        <w:rPr>
          <w:sz w:val="22"/>
          <w:rFonts w:ascii="微软雅黑" w:hAnsi="微软雅黑" w:cs="微软雅黑" w:eastAsia="微软雅黑"/>
          <w:color w:val="525252"/>
        </w:rPr>
        <w:t>月薪</w:t>
      </w:r>
    </w:p>
    <w:p>
      <w:pPr>
        <w:spacing w:lineRule="exact" w:after="0" w:before="0" w:line="71"/>
        <w:ind w:left="60"/>
        <w:jc w:val="left"/>
      </w:pPr>
      <w:r>
        <w:rPr>
          <w:sz w:val="8"/>
        </w:rPr>
        <w:t/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对公司会议策划活动进行服务性支持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 xml:space="preserve"> </w:t>
      </w:r>
    </w:p>
    <w:p>
      <w:pPr>
        <w:spacing w:lineRule="exact" w:after="0" w:before="0" w:line="152"/>
        <w:ind w:left="60"/>
        <w:jc w:val="left"/>
      </w:pPr>
      <w:r>
        <w:rPr>
          <w:sz w:val="16"/>
        </w:rPr>
        <w:t/>
      </w:r>
    </w:p>
    <w:p>
      <w:pPr>
        <w:tabs>
          <w:tab w:val="right" w:pos="10440"/>
        </w:tabs>
        <w:spacing w:lineRule="exact" w:after="0" w:before="0" w:line="377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b w:val="on"/>
          <w:color w:val="2C2C2C"/>
        </w:rPr>
        <w:t>2011.08</w:t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-2012.08</w:t>
        <w:tab/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杭州外联出国顾问集团</w:t>
      </w:r>
    </w:p>
    <w:p>
      <w:pPr>
        <w:tabs>
          <w:tab w:val="right" w:pos="10440"/>
        </w:tabs>
        <w:spacing w:lineRule="exact" w:after="0" w:before="0" w:line="348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color w:val="525252"/>
        </w:rPr>
        <w:t>宣传策划</w:t>
        <w:tab/>
      </w:r>
      <w:r>
        <w:rPr>
          <w:sz w:val="22"/>
          <w:rFonts w:ascii="微软雅黑" w:hAnsi="微软雅黑" w:cs="微软雅黑" w:eastAsia="微软雅黑"/>
          <w:color w:val="525252"/>
        </w:rPr>
        <w:t>月薪</w:t>
      </w:r>
    </w:p>
    <w:p>
      <w:pPr>
        <w:spacing w:lineRule="exact" w:after="0" w:before="0" w:line="71"/>
        <w:ind w:left="60"/>
        <w:jc w:val="left"/>
      </w:pPr>
      <w:r>
        <w:rPr>
          <w:sz w:val="8"/>
        </w:rPr>
        <w:t/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移民公司宣传策划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 xml:space="preserve"> </w:t>
      </w:r>
    </w:p>
    <w:p>
      <w:pPr>
        <w:spacing w:lineRule="exact" w:after="0" w:before="0" w:line="152"/>
        <w:ind w:left="60"/>
        <w:jc w:val="left"/>
      </w:pPr>
      <w:r>
        <w:rPr>
          <w:sz w:val="16"/>
        </w:rPr>
        <w:t/>
      </w:r>
    </w:p>
    <w:p>
      <w:pPr>
        <w:tabs>
          <w:tab w:val="right" w:pos="10440"/>
        </w:tabs>
        <w:spacing w:lineRule="exact" w:after="0" w:before="0" w:line="377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b w:val="on"/>
          <w:color w:val="2C2C2C"/>
        </w:rPr>
        <w:t>2009.04</w:t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-2011.06</w:t>
        <w:tab/>
      </w:r>
      <w:r>
        <w:rPr>
          <w:sz w:val="22"/>
          <w:rFonts w:ascii="微软雅黑" w:hAnsi="微软雅黑" w:cs="微软雅黑" w:eastAsia="微软雅黑"/>
          <w:b w:val="on"/>
          <w:color w:val="2C2C2C"/>
        </w:rPr>
        <w:t>浙江省农业银行</w:t>
      </w:r>
    </w:p>
    <w:p>
      <w:pPr>
        <w:tabs>
          <w:tab w:val="right" w:pos="10440"/>
        </w:tabs>
        <w:spacing w:lineRule="exact" w:after="0" w:before="0" w:line="348"/>
        <w:ind w:left="60"/>
        <w:jc w:val="left"/>
        <w:textAlignment w:val="center"/>
      </w:pPr>
      <w:r>
        <w:rPr>
          <w:sz w:val="22"/>
          <w:rFonts w:ascii="微软雅黑" w:hAnsi="微软雅黑" w:cs="微软雅黑" w:eastAsia="微软雅黑"/>
          <w:color w:val="525252"/>
        </w:rPr>
        <w:t>行政文员</w:t>
        <w:tab/>
      </w:r>
      <w:r>
        <w:rPr>
          <w:sz w:val="22"/>
          <w:rFonts w:ascii="微软雅黑" w:hAnsi="微软雅黑" w:cs="微软雅黑" w:eastAsia="微软雅黑"/>
          <w:color w:val="525252"/>
        </w:rPr>
        <w:t>月薪</w:t>
      </w:r>
    </w:p>
    <w:p>
      <w:pPr>
        <w:spacing w:lineRule="exact" w:after="0" w:before="0" w:line="71"/>
        <w:ind w:left="60"/>
        <w:jc w:val="left"/>
      </w:pPr>
      <w:r>
        <w:rPr>
          <w:sz w:val="8"/>
        </w:rPr>
        <w:t/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浙江省农业银行总行领导层服务支持</w:t>
      </w: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 xml:space="preserve"> </w:t>
      </w:r>
    </w:p>
    <w:p>
      <w:pPr>
        <w:spacing w:lineRule="exact" w:after="0" w:before="0" w:line="290"/>
        <w:jc w:val="left"/>
      </w:pPr>
      <w:r>
        <w:rPr>
          <w:sz w:val="30"/>
        </w:rPr>
        <w:t/>
      </w:r>
    </w:p>
    <w:p>
      <w:pPr>
        <w:spacing w:lineRule="exact" w:after="0" w:before="0" w:line="464"/>
        <w:ind w:left="566"/>
        <w:textAlignment w:val="center"/>
        <w:rPr>
          <w:sz w:val="21"/>
        </w:rPr>
      </w:pPr>
      <w:bookmarkStart w:id="0" w:name="_GoBack"/>
      <w:r>
        <w:rPr>
          <w:color w:val="2C2C2C"/>
          <w:b w:val="on"/>
          <w:rFonts w:ascii="微软雅黑" w:hAnsi="微软雅黑" w:cs="微软雅黑" w:eastAsia="微软雅黑"/>
          <w:sz w:val="26"/>
        </w:rPr>
        <w:t>相关技能</w:t>
      </w:r>
      <w:r>
        <w:drawing>
          <wp:anchor simplePos="0" relativeHeight="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" name="Drawing 0" descr="相关技能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相关技能.png"/>
                    <pic:cNvPicPr>
                      <a:picLocks noChangeAspect="true"/>
                    </pic:cNvPicPr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>
      <w:pPr>
        <w:spacing w:lineRule="exact" w:after="0" w:before="0" w:line="14"/>
        <w:rPr>
          <w:sz w:val="21"/>
        </w:rPr>
      </w:pPr>
    </w:p>
    <w:p>
      <w:pPr>
        <w:spacing w:lineRule="exact" w:after="0" w:before="0" w:line="152"/>
        <w:rPr>
          <w:rFonts w:hint="eastAsia" w:eastAsiaTheme="minorEastAsia"/>
          <w:sz w:val="21"/>
          <w:lang w:val="en-US" w:eastAsia="zh-CN"/>
        </w:rPr>
      </w:pPr>
    </w:p>
    <w:p>
      <w:pPr>
        <w:spacing w:lineRule="exact" w:after="0" w:before="0" w:line="377"/>
        <w:ind w:left="60" w:righ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>品牌策划；品牌推广；效果广告；媒介投放；内容分发；新媒体运营；AI</w:t>
      </w:r>
    </w:p>
    <w:p>
      <w:pPr>
        <w:spacing w:lineRule="exact" w:after="0" w:before="0" w:line="377"/>
        <w:ind w:left="60"/>
        <w:textAlignment w:val="center"/>
      </w:pPr>
      <w:r>
        <w:rPr>
          <w:color w:val="666666"/>
          <w:rFonts w:ascii="微软雅黑" w:hAnsi="微软雅黑" w:cs="微软雅黑" w:eastAsia="微软雅黑"/>
          <w:sz w:val="20"/>
        </w:rPr>
        <w:t xml:space="preserve"> </w:t>
      </w:r>
    </w:p>
    <w:sectPr>
      <w:headerReference r:id="rId3" w:type="first"/>
      <w:footerReference r:id="rId4" w:type="first"/>
      <w:pgSz w:w="11906" w:h="16838"/>
      <w:pgMar w:top="696" w:right="696" w:bottom="696" w:left="69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2130"/>
          <wp:effectExtent l="0" t="0" r="3175" b="13970"/>
          <wp:wrapNone/>
          <wp:docPr id="1" name="图片 1" descr="page_auto_backgrou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page_auto_backgroun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pPr>
        <w:ind w:hanging="200" w:left="260"/>
      </w:pPr>
    </w:lvl>
    <w:lvl w:ilvl="1">
      <w:start w:val="1"/>
      <w:numFmt w:val="lowerLetter"/>
      <w:lvlText w:val="%2."/>
      <w:pPr>
        <w:ind w:hanging="200" w:left="680"/>
      </w:pPr>
    </w:lvl>
    <w:lvl w:ilvl="2">
      <w:start w:val="1"/>
      <w:numFmt w:val="lowerRoman"/>
      <w:lvlText w:val="%3."/>
      <w:pPr>
        <w:ind w:hanging="200" w:left="1100"/>
      </w:pPr>
    </w:lvl>
    <w:lvl w:ilvl="3">
      <w:start w:val="1"/>
      <w:numFmt w:val="decimal"/>
      <w:lvlText w:val="%4."/>
      <w:pPr>
        <w:ind w:hanging="200" w:left="1520"/>
      </w:pPr>
    </w:lvl>
    <w:lvl w:ilvl="4">
      <w:start w:val="1"/>
      <w:numFmt w:val="lowerLetter"/>
      <w:lvlText w:val="%5."/>
      <w:pPr>
        <w:ind w:hanging="200" w:left="1940"/>
      </w:pPr>
    </w:lvl>
    <w:lvl w:ilvl="5">
      <w:start w:val="1"/>
      <w:numFmt w:val="lowerRoman"/>
      <w:lvlText w:val="%6."/>
      <w:pPr>
        <w:ind w:hanging="200" w:left="2360"/>
      </w:pPr>
    </w:lvl>
    <w:lvl w:ilvl="6">
      <w:start w:val="1"/>
      <w:numFmt w:val="decimal"/>
      <w:lvlText w:val="%7."/>
      <w:pPr>
        <w:ind w:hanging="200" w:left="2780"/>
      </w:pPr>
    </w:lvl>
    <w:lvl w:ilvl="7">
      <w:start w:val="1"/>
      <w:numFmt w:val="lowerLetter"/>
      <w:lvlText w:val="%8."/>
      <w:pPr>
        <w:ind w:hanging="200" w:left="3200"/>
      </w:pPr>
    </w:lvl>
    <w:lvl w:ilvl="8">
      <w:start w:val="1"/>
      <w:numFmt w:val="lowerRoman"/>
      <w:lvlText w:val="%9."/>
      <w:pPr>
        <w:ind w:hanging="200" w:left="3620"/>
      </w:pPr>
    </w:lvl>
  </w:abstractNum>
  <w:abstractNum w:abstractNumId="2">
    <w:lvl w:ilvl="0">
      <w:start w:val="1"/>
      <w:numFmt w:val="bullet"/>
      <w:lvlText w:val="•"/>
      <w:pPr>
        <w:ind w:hanging="200" w:left="260"/>
      </w:pPr>
    </w:lvl>
    <w:lvl w:ilvl="1">
      <w:start w:val="1"/>
      <w:numFmt w:val="bullet"/>
      <w:lvlText w:val="•"/>
      <w:pPr>
        <w:ind w:hanging="200" w:left="680"/>
      </w:pPr>
    </w:lvl>
    <w:lvl w:ilvl="2">
      <w:start w:val="1"/>
      <w:numFmt w:val="bullet"/>
      <w:lvlText w:val="•"/>
      <w:pPr>
        <w:ind w:hanging="200" w:left="1100"/>
      </w:pPr>
    </w:lvl>
    <w:lvl w:ilvl="3">
      <w:start w:val="1"/>
      <w:numFmt w:val="bullet"/>
      <w:lvlText w:val="•"/>
      <w:pPr>
        <w:ind w:hanging="200" w:left="1520"/>
      </w:pPr>
    </w:lvl>
    <w:lvl w:ilvl="4">
      <w:start w:val="1"/>
      <w:numFmt w:val="bullet"/>
      <w:lvlText w:val="•"/>
      <w:pPr>
        <w:ind w:hanging="200" w:left="1940"/>
      </w:pPr>
    </w:lvl>
    <w:lvl w:ilvl="5">
      <w:start w:val="1"/>
      <w:numFmt w:val="bullet"/>
      <w:lvlText w:val="•"/>
      <w:pPr>
        <w:ind w:hanging="200" w:left="2360"/>
      </w:pPr>
    </w:lvl>
    <w:lvl w:ilvl="6">
      <w:start w:val="1"/>
      <w:numFmt w:val="bullet"/>
      <w:lvlText w:val="•"/>
      <w:pPr>
        <w:ind w:hanging="200" w:left="2780"/>
      </w:pPr>
    </w:lvl>
    <w:lvl w:ilvl="7">
      <w:start w:val="1"/>
      <w:numFmt w:val="bullet"/>
      <w:lvlText w:val="•"/>
      <w:pPr>
        <w:ind w:hanging="200" w:left="3200"/>
      </w:pPr>
    </w:lvl>
    <w:lvl w:ilvl="8">
      <w:start w:val="1"/>
      <w:numFmt w:val="bullet"/>
      <w:lvlText w:val="•"/>
      <w:pPr>
        <w:ind w:hanging="200" w:left="36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3YWJhNTk2YmViMDJjYTgzY2MwNmE4ZmMwNTRjZmUifQ=="/>
  </w:docVars>
  <w:rsids>
    <w:rsidRoot w:val="6502090C"/>
    <w:rsid w:val="09E759A5"/>
    <w:rsid w:val="14B93137"/>
    <w:rsid w:val="192A24F5"/>
    <w:rsid w:val="1C3F1959"/>
    <w:rsid w:val="1E1E31CB"/>
    <w:rsid w:val="2F2B5F68"/>
    <w:rsid w:val="31E70D56"/>
    <w:rsid w:val="38B05511"/>
    <w:rsid w:val="436405CD"/>
    <w:rsid w:val="459E1D8A"/>
    <w:rsid w:val="49F16BD5"/>
    <w:rsid w:val="4ED846C4"/>
    <w:rsid w:val="5153670D"/>
    <w:rsid w:val="53E178E8"/>
    <w:rsid w:val="568972FD"/>
    <w:rsid w:val="6502090C"/>
    <w:rsid w:val="68F33F75"/>
    <w:rsid w:val="7D79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default="1" w:styleId="f21a80d5-6bfa-4d4b-a5b3-6476458ae4b5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c286fd6e-98c1-4e33-8a8f-3fa90b2b15b9">
    <w:name w:val="Default Paragraph Font"/>
    <w:semiHidden/>
    <w:qFormat/>
    <w:uiPriority w:val="0"/>
  </w:style>
  <w:style w:type="table" w:default="1" w:styleId="1148a6a1-8dd6-4905-9ea3-eb41f767bde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4ac3a2f8-df56-4d05-a717-30d18036b6e7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d2a9f8a-eb31-4f55-ab7b-726a19a839a1">
    <w:name w:val="Default Paragraph Font"/>
    <w:semiHidden/>
    <w:qFormat/>
    <w:uiPriority w:val="0"/>
  </w:style>
  <w:style w:type="table" w:default="1" w:styleId="915ea9f9-a66b-477f-b47c-87eeaed619c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e2829b9e-3e24-4966-b25f-d6d1b630396b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default="1" w:styleId="5a145731-2a23-45c2-8ffe-f247fcfb96e4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b98f32d-9579-4a28-b09e-b413a4a4ab13">
    <w:name w:val="Default Paragraph Font"/>
    <w:semiHidden/>
    <w:qFormat/>
    <w:uiPriority w:val="0"/>
  </w:style>
  <w:style w:type="table" w:default="1" w:styleId="80d510cd-3fd1-4cc7-9fc0-ee14d2b49bae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1bdc97a7-7300-455b-9b01-50ec856fd978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b6a0c6c-feb3-413f-b10f-e1cc56653896">
    <w:name w:val="Default Paragraph Font"/>
    <w:semiHidden/>
    <w:qFormat/>
    <w:uiPriority w:val="0"/>
  </w:style>
  <w:style w:type="table" w:default="1" w:styleId="56450eb4-f9de-4b1d-aadf-592bd3a18fab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svg" Type="http://schemas.openxmlformats.org/officeDocument/2006/relationships/image"/><Relationship Id="rId11" Target="media/image6.png" Type="http://schemas.openxmlformats.org/officeDocument/2006/relationships/image"/><Relationship Id="rId12" Target="media/image7.svg" Type="http://schemas.openxmlformats.org/officeDocument/2006/relationships/image"/><Relationship Id="rId13" Target="media/image8.jpeg" Type="http://schemas.openxmlformats.org/officeDocument/2006/relationships/image"/><Relationship Id="rId14" Target="media/image9.png" Type="http://schemas.openxmlformats.org/officeDocument/2006/relationships/image"/><Relationship Id="rId15" Target="media/image10.svg" Type="http://schemas.openxmlformats.org/officeDocument/2006/relationships/image"/><Relationship Id="rId16" Target="media/image11.png" Type="http://schemas.openxmlformats.org/officeDocument/2006/relationships/image"/><Relationship Id="rId17" Target="media/image12.svg" Type="http://schemas.openxmlformats.org/officeDocument/2006/relationships/image"/><Relationship Id="rId18" Target="numbering.xml" Type="http://schemas.openxmlformats.org/officeDocument/2006/relationships/numbering"/><Relationship Id="rId19" Target="media/image13.png" Type="http://schemas.openxmlformats.org/officeDocument/2006/relationships/image"/><Relationship Id="rId2" Target="settings.xml" Type="http://schemas.openxmlformats.org/officeDocument/2006/relationships/settings"/><Relationship Id="rId20" Target="media/image14.svg" Type="http://schemas.openxmlformats.org/officeDocument/2006/relationships/image"/><Relationship Id="rId3" Target="header1.xml" Type="http://schemas.openxmlformats.org/officeDocument/2006/relationships/header"/><Relationship Id="rId4" Target="footer1.xml" Type="http://schemas.openxmlformats.org/officeDocument/2006/relationships/footer"/><Relationship Id="rId5" Target="theme/theme1.xml" Type="http://schemas.openxmlformats.org/officeDocument/2006/relationships/theme"/><Relationship Id="rId6" Target="fontTable.xml" Type="http://schemas.openxmlformats.org/officeDocument/2006/relationships/fontTable"/><Relationship Id="rId7" Target="media/image2.png" Type="http://schemas.openxmlformats.org/officeDocument/2006/relationships/image"/><Relationship Id="rId8" Target="media/image3.svg" Type="http://schemas.openxmlformats.org/officeDocument/2006/relationships/image"/><Relationship Id="rId9" Target="media/image4.png" Type="http://schemas.openxmlformats.org/officeDocument/2006/relationships/imag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2022-03-07T08:59:00Z</dcterms:created>
  <dc:creator>WPS_1603439798</dc:creator>
  <cp:lastModifiedBy>客家小罗123333333333</cp:lastModifiedBy>
  <dcterms:modified xsi:type="dcterms:W3CDTF">2023-01-30T03:08:44Z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92524C79CCAF4E568F658ADB0F0C759C</vt:lpwstr>
  </property>
  <property pid="4" fmtid="{D5CDD505-2E9C-101B-9397-08002B2CF9AE}" name="woTypoMode">
    <vt:lpwstr>pages</vt:lpwstr>
  </property>
  <property pid="5" fmtid="{D5CDD505-2E9C-101B-9397-08002B2CF9AE}" name="woSyncTypoMode">
    <vt:lpwstr>是</vt:lpwstr>
  </property>
</Properties>
</file>